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default" w:ascii="Segoe UI" w:hAnsi="Segoe UI" w:cs="Segoe UI" w:eastAsiaTheme="minorEastAsia"/>
          <w:sz w:val="20"/>
          <w:szCs w:val="20"/>
          <w:lang w:val="en-US" w:eastAsia="zh-CN"/>
        </w:rPr>
      </w:pPr>
      <w:r>
        <w:rPr>
          <w:rFonts w:hint="default" w:ascii="Segoe UI" w:hAnsi="Segoe UI" w:cs="Segoe UI"/>
          <w:sz w:val="20"/>
          <w:szCs w:val="20"/>
          <w:lang w:val="en-US" w:eastAsia="zh-CN"/>
        </w:rPr>
        <w:t>Table 1.  Demographic data of patients in included studies</w:t>
      </w:r>
      <w:r>
        <w:rPr>
          <w:rFonts w:hint="default" w:ascii="Segoe UI" w:hAnsi="Segoe UI" w:cs="Segoe UI" w:eastAsiaTheme="minorEastAsia"/>
          <w:sz w:val="20"/>
          <w:szCs w:val="20"/>
          <w:lang w:val="en-US" w:eastAsia="zh-CN"/>
        </w:rPr>
        <w:t xml:space="preserve">    </w:t>
      </w:r>
      <w:bookmarkStart w:id="0" w:name="_GoBack"/>
      <w:bookmarkEnd w:id="0"/>
    </w:p>
    <w:tbl>
      <w:tblPr>
        <w:tblStyle w:val="3"/>
        <w:tblpPr w:leftFromText="180" w:rightFromText="180" w:vertAnchor="page" w:horzAnchor="page" w:tblpX="1887" w:tblpY="2143"/>
        <w:tblOverlap w:val="never"/>
        <w:tblW w:w="95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1144"/>
        <w:gridCol w:w="1147"/>
        <w:gridCol w:w="1263"/>
        <w:gridCol w:w="1246"/>
        <w:gridCol w:w="1080"/>
        <w:gridCol w:w="1411"/>
        <w:gridCol w:w="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</w:trPr>
        <w:tc>
          <w:tcPr>
            <w:tcW w:w="1371" w:type="dxa"/>
            <w:tcBorders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Study</w:t>
            </w:r>
          </w:p>
        </w:tc>
        <w:tc>
          <w:tcPr>
            <w:tcW w:w="1144" w:type="dxa"/>
            <w:tcBorders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Number of patients</w:t>
            </w:r>
          </w:p>
        </w:tc>
        <w:tc>
          <w:tcPr>
            <w:tcW w:w="1147" w:type="dxa"/>
            <w:tcBorders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Included disease</w:t>
            </w:r>
          </w:p>
        </w:tc>
        <w:tc>
          <w:tcPr>
            <w:tcW w:w="1263" w:type="dxa"/>
            <w:tcBorders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Gestational age (weeks)</w:t>
            </w:r>
          </w:p>
        </w:tc>
        <w:tc>
          <w:tcPr>
            <w:tcW w:w="1246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Weight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（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k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g）</w:t>
            </w:r>
          </w:p>
        </w:tc>
        <w:tc>
          <w:tcPr>
            <w:tcW w:w="1080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PaO2 (mmHg)</w:t>
            </w:r>
          </w:p>
        </w:tc>
        <w:tc>
          <w:tcPr>
            <w:tcW w:w="1411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Oxygenation index</w:t>
            </w:r>
          </w:p>
        </w:tc>
        <w:tc>
          <w:tcPr>
            <w:tcW w:w="861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Age (hours)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1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 xml:space="preserve">Speggiorin 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et al</w:t>
            </w:r>
          </w:p>
        </w:tc>
        <w:tc>
          <w:tcPr>
            <w:tcW w:w="1144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72</w:t>
            </w:r>
          </w:p>
        </w:tc>
        <w:tc>
          <w:tcPr>
            <w:tcW w:w="1147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Mixed</w:t>
            </w:r>
          </w:p>
        </w:tc>
        <w:tc>
          <w:tcPr>
            <w:tcW w:w="1263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3.4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41.2</w:t>
            </w:r>
          </w:p>
        </w:tc>
        <w:tc>
          <w:tcPr>
            <w:tcW w:w="141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86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43.2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Kugelman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 xml:space="preserve"> et al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114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MAS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40.3±0.1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3.48±0.05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35.8±1.0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60±3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Knight et al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54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Mixed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39.6±0.3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3.595±0.072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38±2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NA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19±2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1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Chevalier et al</w:t>
            </w:r>
          </w:p>
        </w:tc>
        <w:tc>
          <w:tcPr>
            <w:tcW w:w="1144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102</w:t>
            </w:r>
          </w:p>
        </w:tc>
        <w:tc>
          <w:tcPr>
            <w:tcW w:w="1147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Mixed</w:t>
            </w:r>
          </w:p>
        </w:tc>
        <w:tc>
          <w:tcPr>
            <w:tcW w:w="1263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38.1±2.2</w:t>
            </w:r>
          </w:p>
        </w:tc>
        <w:tc>
          <w:tcPr>
            <w:tcW w:w="1246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3.054±0.62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49.5</w:t>
            </w:r>
          </w:p>
        </w:tc>
        <w:tc>
          <w:tcPr>
            <w:tcW w:w="1411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46</w:t>
            </w:r>
          </w:p>
        </w:tc>
        <w:tc>
          <w:tcPr>
            <w:tcW w:w="861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71±94</w:t>
            </w:r>
          </w:p>
        </w:tc>
      </w:tr>
    </w:tbl>
    <w:p>
      <w:pPr>
        <w:spacing w:line="480" w:lineRule="auto"/>
        <w:rPr>
          <w:rFonts w:hint="default" w:ascii="Segoe UI" w:hAnsi="Segoe UI" w:cs="Segoe UI" w:eastAsiaTheme="minorEastAsia"/>
          <w:sz w:val="20"/>
          <w:szCs w:val="20"/>
          <w:lang w:val="en-US" w:eastAsia="zh-CN"/>
        </w:rPr>
      </w:pPr>
      <w:r>
        <w:rPr>
          <w:rFonts w:hint="default" w:ascii="Segoe UI" w:hAnsi="Segoe UI" w:cs="Segoe UI"/>
          <w:sz w:val="20"/>
          <w:szCs w:val="20"/>
          <w:lang w:val="en-US" w:eastAsia="zh-CN"/>
        </w:rPr>
        <w:t>MAS</w:t>
      </w:r>
      <w:r>
        <w:rPr>
          <w:rFonts w:hint="default" w:ascii="Segoe UI" w:hAnsi="Segoe UI" w:cs="Segoe UI"/>
          <w:sz w:val="20"/>
          <w:szCs w:val="20"/>
          <w:lang w:val="en-US" w:eastAsia="zh-CN"/>
        </w:rPr>
        <w:t>: m</w:t>
      </w:r>
      <w:r>
        <w:rPr>
          <w:rFonts w:hint="default" w:ascii="Segoe UI" w:hAnsi="Segoe UI" w:cs="Segoe UI"/>
          <w:sz w:val="20"/>
          <w:szCs w:val="20"/>
          <w:lang w:val="en-US" w:eastAsia="zh-CN"/>
        </w:rPr>
        <w:t>econium aspiration syndrome; PaO2</w:t>
      </w:r>
      <w:r>
        <w:rPr>
          <w:rFonts w:hint="default" w:ascii="Segoe UI" w:hAnsi="Segoe UI" w:cs="Segoe UI"/>
          <w:sz w:val="20"/>
          <w:szCs w:val="20"/>
          <w:lang w:val="en-US" w:eastAsia="zh-CN"/>
        </w:rPr>
        <w:t>: p</w:t>
      </w:r>
      <w:r>
        <w:rPr>
          <w:rFonts w:hint="default" w:ascii="Segoe UI" w:hAnsi="Segoe UI" w:cs="Segoe UI"/>
          <w:sz w:val="20"/>
          <w:szCs w:val="20"/>
          <w:lang w:val="en-US" w:eastAsia="zh-CN"/>
        </w:rPr>
        <w:t>artial pressure of oxygen; NA</w:t>
      </w:r>
      <w:r>
        <w:rPr>
          <w:rFonts w:hint="default" w:ascii="Segoe UI" w:hAnsi="Segoe UI" w:cs="Segoe UI"/>
          <w:sz w:val="20"/>
          <w:szCs w:val="20"/>
          <w:lang w:val="en-US" w:eastAsia="zh-CN"/>
        </w:rPr>
        <w:t>: n</w:t>
      </w:r>
      <w:r>
        <w:rPr>
          <w:rFonts w:hint="default" w:ascii="Segoe UI" w:hAnsi="Segoe UI" w:cs="Segoe UI"/>
          <w:sz w:val="20"/>
          <w:szCs w:val="20"/>
          <w:lang w:val="en-US" w:eastAsia="zh-CN"/>
        </w:rPr>
        <w:t>ot available.</w:t>
      </w:r>
    </w:p>
    <w:p>
      <w:pPr>
        <w:spacing w:line="480" w:lineRule="auto"/>
        <w:rPr>
          <w:rFonts w:hint="default" w:ascii="Segoe UI" w:hAnsi="Segoe UI" w:cs="Segoe UI" w:eastAsiaTheme="minorEastAsia"/>
          <w:sz w:val="20"/>
          <w:szCs w:val="20"/>
          <w:lang w:val="en-US" w:eastAsia="zh-CN"/>
        </w:rPr>
      </w:pPr>
    </w:p>
    <w:p>
      <w:pPr>
        <w:spacing w:line="480" w:lineRule="auto"/>
        <w:rPr>
          <w:rFonts w:hint="default" w:ascii="Segoe UI" w:hAnsi="Segoe UI" w:cs="Segoe UI" w:eastAsiaTheme="minorEastAsia"/>
          <w:sz w:val="20"/>
          <w:szCs w:val="2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F63C82"/>
    <w:rsid w:val="10F63C82"/>
    <w:rsid w:val="32F50F15"/>
    <w:rsid w:val="336460C3"/>
    <w:rsid w:val="3BC44D7A"/>
    <w:rsid w:val="3FF04722"/>
    <w:rsid w:val="426C3A00"/>
    <w:rsid w:val="48524A91"/>
    <w:rsid w:val="578819B2"/>
    <w:rsid w:val="5D3F62A6"/>
    <w:rsid w:val="5FB10AFD"/>
    <w:rsid w:val="62213FF5"/>
    <w:rsid w:val="6894261E"/>
    <w:rsid w:val="76CE3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2019-05-10T12:29:00Z</dcterms:created>
  <dc:creator>亮亮bear</dc:creator>
  <cp:lastModifiedBy>Viviane644</cp:lastModifiedBy>
  <dcterms:modified xsi:type="dcterms:W3CDTF">2020-03-29T07:27:43Z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